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596BB" w14:textId="7B04C5FD" w:rsidR="009218D7" w:rsidRPr="00033CE7" w:rsidRDefault="009218D7" w:rsidP="000E6F43">
      <w:pPr>
        <w:pStyle w:val="Title"/>
        <w:jc w:val="center"/>
        <w:rPr>
          <w:rFonts w:ascii="Arial" w:hAnsi="Arial" w:cs="Arial"/>
        </w:rPr>
      </w:pPr>
      <w:r w:rsidRPr="00033CE7">
        <w:rPr>
          <w:rFonts w:ascii="Arial" w:hAnsi="Arial" w:cs="Arial"/>
        </w:rPr>
        <w:t xml:space="preserve">Manufacturing Ergonomics </w:t>
      </w:r>
      <w:r w:rsidR="00590F1A" w:rsidRPr="00033CE7">
        <w:rPr>
          <w:rFonts w:ascii="Arial" w:hAnsi="Arial" w:cs="Arial"/>
        </w:rPr>
        <w:t>References</w:t>
      </w:r>
    </w:p>
    <w:p w14:paraId="631CC3EC" w14:textId="77777777" w:rsidR="006B12BA" w:rsidRPr="00033CE7" w:rsidRDefault="006B12BA" w:rsidP="006B12B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033CE7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1. Ergonomics and Workstation Design</w:t>
      </w:r>
    </w:p>
    <w:p w14:paraId="619511DE" w14:textId="77777777" w:rsidR="006B12BA" w:rsidRPr="00033CE7" w:rsidRDefault="006B12BA" w:rsidP="006B12B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Dul, J., &amp; Ceylan, C. (2014). The impact of a creative work environment on a firm’s product innovation performance.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Ergonomics, 57</w:t>
      </w:r>
      <w:r w:rsidRPr="00033CE7">
        <w:rPr>
          <w:rFonts w:ascii="Arial" w:eastAsia="Times New Roman" w:hAnsi="Arial" w:cs="Arial"/>
          <w:kern w:val="0"/>
          <w14:ligatures w14:val="none"/>
        </w:rPr>
        <w:t>(5), 755-768.</w:t>
      </w:r>
    </w:p>
    <w:p w14:paraId="2EDB6963" w14:textId="77777777" w:rsidR="006B12BA" w:rsidRPr="00033CE7" w:rsidRDefault="006B12BA" w:rsidP="006B12B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Dul, J., &amp; Weerdmeester, B. (2012).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Ergonomics for beginners: A quick reference guide</w:t>
      </w:r>
      <w:r w:rsidRPr="00033CE7">
        <w:rPr>
          <w:rFonts w:ascii="Arial" w:eastAsia="Times New Roman" w:hAnsi="Arial" w:cs="Arial"/>
          <w:kern w:val="0"/>
          <w14:ligatures w14:val="none"/>
        </w:rPr>
        <w:t>. CRC Press.</w:t>
      </w:r>
    </w:p>
    <w:p w14:paraId="3266B87B" w14:textId="77777777" w:rsidR="006B12BA" w:rsidRPr="00033CE7" w:rsidRDefault="006B12BA" w:rsidP="006B12B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Kroemer, K. H. E. (2016).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Fitting the Human: Introduction to Ergonomics, Sixth Edition</w:t>
      </w:r>
      <w:r w:rsidRPr="00033CE7">
        <w:rPr>
          <w:rFonts w:ascii="Arial" w:eastAsia="Times New Roman" w:hAnsi="Arial" w:cs="Arial"/>
          <w:kern w:val="0"/>
          <w14:ligatures w14:val="none"/>
        </w:rPr>
        <w:t>. CRC Press.</w:t>
      </w:r>
    </w:p>
    <w:p w14:paraId="29C02565" w14:textId="77777777" w:rsidR="006B12BA" w:rsidRPr="00033CE7" w:rsidRDefault="006B12BA" w:rsidP="006B12B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Wilson, J. R., &amp; Corlett, E. N. (Eds.). (2019).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Evaluation of Human Work</w:t>
      </w:r>
      <w:r w:rsidRPr="00033CE7">
        <w:rPr>
          <w:rFonts w:ascii="Arial" w:eastAsia="Times New Roman" w:hAnsi="Arial" w:cs="Arial"/>
          <w:kern w:val="0"/>
          <w14:ligatures w14:val="none"/>
        </w:rPr>
        <w:t>. CRC Press.</w:t>
      </w:r>
    </w:p>
    <w:p w14:paraId="4B675DF2" w14:textId="77777777" w:rsidR="006B12BA" w:rsidRPr="00033CE7" w:rsidRDefault="006B12BA" w:rsidP="006B12B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033CE7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2. Manufacturing Processes and Ergonomics</w:t>
      </w:r>
    </w:p>
    <w:p w14:paraId="578BE6FA" w14:textId="77777777" w:rsidR="006B12BA" w:rsidRPr="00033CE7" w:rsidRDefault="006B12BA" w:rsidP="006B12B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Bhattacharya, A. (2014).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Occupational Ergonomics: Theory and Practice</w:t>
      </w:r>
      <w:r w:rsidRPr="00033CE7">
        <w:rPr>
          <w:rFonts w:ascii="Arial" w:eastAsia="Times New Roman" w:hAnsi="Arial" w:cs="Arial"/>
          <w:kern w:val="0"/>
          <w14:ligatures w14:val="none"/>
        </w:rPr>
        <w:t>. CRC Press.</w:t>
      </w:r>
    </w:p>
    <w:p w14:paraId="2D28EB66" w14:textId="77777777" w:rsidR="006B12BA" w:rsidRPr="00033CE7" w:rsidRDefault="006B12BA" w:rsidP="006B12B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Karwowski, W., &amp; Marras, W. S. (Eds.). (2019).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The Occupational Ergonomics Handbook: Second Edition</w:t>
      </w:r>
      <w:r w:rsidRPr="00033CE7">
        <w:rPr>
          <w:rFonts w:ascii="Arial" w:eastAsia="Times New Roman" w:hAnsi="Arial" w:cs="Arial"/>
          <w:kern w:val="0"/>
          <w14:ligatures w14:val="none"/>
        </w:rPr>
        <w:t>. CRC Press.</w:t>
      </w:r>
    </w:p>
    <w:p w14:paraId="15DB7515" w14:textId="77777777" w:rsidR="006B12BA" w:rsidRPr="00033CE7" w:rsidRDefault="006B12BA" w:rsidP="006B12B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Konz, S., &amp; Johnson, S. (2018).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Work Design: Occupational Ergonomics</w:t>
      </w:r>
      <w:r w:rsidRPr="00033CE7">
        <w:rPr>
          <w:rFonts w:ascii="Arial" w:eastAsia="Times New Roman" w:hAnsi="Arial" w:cs="Arial"/>
          <w:kern w:val="0"/>
          <w14:ligatures w14:val="none"/>
        </w:rPr>
        <w:t>. Holcomb Hathaway Publishers.</w:t>
      </w:r>
    </w:p>
    <w:p w14:paraId="1F2775FB" w14:textId="77777777" w:rsidR="006B12BA" w:rsidRPr="00033CE7" w:rsidRDefault="006B12BA" w:rsidP="006B12B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033CE7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3. Tool and Equipment Design</w:t>
      </w:r>
    </w:p>
    <w:p w14:paraId="47E5DF5F" w14:textId="77777777" w:rsidR="006B12BA" w:rsidRPr="00033CE7" w:rsidRDefault="006B12BA" w:rsidP="006B12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Bosch, T., Mathiassen, S. E., &amp; Visser, B. (2015). The impact of prolonged tool use on health and performance.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Ergonomics, 58</w:t>
      </w:r>
      <w:r w:rsidRPr="00033CE7">
        <w:rPr>
          <w:rFonts w:ascii="Arial" w:eastAsia="Times New Roman" w:hAnsi="Arial" w:cs="Arial"/>
          <w:kern w:val="0"/>
          <w14:ligatures w14:val="none"/>
        </w:rPr>
        <w:t>(4), 636-647.</w:t>
      </w:r>
    </w:p>
    <w:p w14:paraId="58B71A66" w14:textId="77777777" w:rsidR="006B12BA" w:rsidRPr="00033CE7" w:rsidRDefault="006B12BA" w:rsidP="006B12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Dempsey, P. G., &amp; Wogalter, M. S. (2013).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Warning and Risk Communication</w:t>
      </w:r>
      <w:r w:rsidRPr="00033CE7">
        <w:rPr>
          <w:rFonts w:ascii="Arial" w:eastAsia="Times New Roman" w:hAnsi="Arial" w:cs="Arial"/>
          <w:kern w:val="0"/>
          <w14:ligatures w14:val="none"/>
        </w:rPr>
        <w:t>. CRC Press.</w:t>
      </w:r>
    </w:p>
    <w:p w14:paraId="037CA190" w14:textId="77777777" w:rsidR="006B12BA" w:rsidRPr="00033CE7" w:rsidRDefault="006B12BA" w:rsidP="006B12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Sanders, M. S., &amp; McCormick, E. J. (2013).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Human Factors in Engineering and Design</w:t>
      </w:r>
      <w:r w:rsidRPr="00033CE7">
        <w:rPr>
          <w:rFonts w:ascii="Arial" w:eastAsia="Times New Roman" w:hAnsi="Arial" w:cs="Arial"/>
          <w:kern w:val="0"/>
          <w14:ligatures w14:val="none"/>
        </w:rPr>
        <w:t>. McGraw-Hill.</w:t>
      </w:r>
    </w:p>
    <w:p w14:paraId="5F4EB101" w14:textId="77777777" w:rsidR="006B12BA" w:rsidRPr="00033CE7" w:rsidRDefault="006B12BA" w:rsidP="006B12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Stanton, N. A., Hedge, A., Brookhuis, K., Salas, E., &amp; Hendrick, H. W. (2013).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Handbook of Human Factors and Ergonomics Methods</w:t>
      </w:r>
      <w:r w:rsidRPr="00033CE7">
        <w:rPr>
          <w:rFonts w:ascii="Arial" w:eastAsia="Times New Roman" w:hAnsi="Arial" w:cs="Arial"/>
          <w:kern w:val="0"/>
          <w14:ligatures w14:val="none"/>
        </w:rPr>
        <w:t>. CRC Press.</w:t>
      </w:r>
    </w:p>
    <w:p w14:paraId="68E96D32" w14:textId="77777777" w:rsidR="006B12BA" w:rsidRPr="00033CE7" w:rsidRDefault="006B12BA" w:rsidP="006B12B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033CE7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4. Ergonomics Risk Assessment</w:t>
      </w:r>
    </w:p>
    <w:p w14:paraId="5E0EFE57" w14:textId="77777777" w:rsidR="006B12BA" w:rsidRPr="00033CE7" w:rsidRDefault="006B12BA" w:rsidP="006B12B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Colombini, D., &amp; Occhipinti, E. (2013).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Ergonomics and Musculoskeletal Disorders: Research on Work-Related Disorders</w:t>
      </w:r>
      <w:r w:rsidRPr="00033CE7">
        <w:rPr>
          <w:rFonts w:ascii="Arial" w:eastAsia="Times New Roman" w:hAnsi="Arial" w:cs="Arial"/>
          <w:kern w:val="0"/>
          <w14:ligatures w14:val="none"/>
        </w:rPr>
        <w:t>. Elsevier.</w:t>
      </w:r>
    </w:p>
    <w:p w14:paraId="00402E05" w14:textId="77777777" w:rsidR="006B12BA" w:rsidRPr="00033CE7" w:rsidRDefault="006B12BA" w:rsidP="006B12B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David, G. C. (2013). Ergonomic methods for assessing exposure to risk factors for work-related musculoskeletal disorders.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Occupational Medicine, 63</w:t>
      </w:r>
      <w:r w:rsidRPr="00033CE7">
        <w:rPr>
          <w:rFonts w:ascii="Arial" w:eastAsia="Times New Roman" w:hAnsi="Arial" w:cs="Arial"/>
          <w:kern w:val="0"/>
          <w14:ligatures w14:val="none"/>
        </w:rPr>
        <w:t>(3), 190-199.</w:t>
      </w:r>
    </w:p>
    <w:p w14:paraId="39322433" w14:textId="77777777" w:rsidR="006B12BA" w:rsidRPr="00033CE7" w:rsidRDefault="006B12BA" w:rsidP="006B12B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Waters, T. R., &amp; Putz-Anderson, V. (2017).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Revised NIOSH Lifting Equation and Applications</w:t>
      </w:r>
      <w:r w:rsidRPr="00033CE7">
        <w:rPr>
          <w:rFonts w:ascii="Arial" w:eastAsia="Times New Roman" w:hAnsi="Arial" w:cs="Arial"/>
          <w:kern w:val="0"/>
          <w14:ligatures w14:val="none"/>
        </w:rPr>
        <w:t>. National Institute for Occupational Safety and Health (NIOSH).</w:t>
      </w:r>
    </w:p>
    <w:p w14:paraId="53A37CB6" w14:textId="77777777" w:rsidR="006B12BA" w:rsidRPr="00033CE7" w:rsidRDefault="006B12BA" w:rsidP="006B12B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033CE7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5. Manual Material Handling</w:t>
      </w:r>
    </w:p>
    <w:p w14:paraId="41F44595" w14:textId="77777777" w:rsidR="006B12BA" w:rsidRPr="00033CE7" w:rsidRDefault="006B12BA" w:rsidP="006B12B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lastRenderedPageBreak/>
        <w:t xml:space="preserve">Genaidy, A. M., Al-Shedi, A. A., &amp; Karwowski, W. (2014). Effects of job rotation on work-related musculoskeletal disorders.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Human Factors, 50</w:t>
      </w:r>
      <w:r w:rsidRPr="00033CE7">
        <w:rPr>
          <w:rFonts w:ascii="Arial" w:eastAsia="Times New Roman" w:hAnsi="Arial" w:cs="Arial"/>
          <w:kern w:val="0"/>
          <w14:ligatures w14:val="none"/>
        </w:rPr>
        <w:t>(5), 852-864.</w:t>
      </w:r>
    </w:p>
    <w:p w14:paraId="531E3B72" w14:textId="77777777" w:rsidR="006B12BA" w:rsidRPr="00033CE7" w:rsidRDefault="006B12BA" w:rsidP="006B12B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Marras, W. S. (2012).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The Working Back: A Systems View</w:t>
      </w:r>
      <w:r w:rsidRPr="00033CE7">
        <w:rPr>
          <w:rFonts w:ascii="Arial" w:eastAsia="Times New Roman" w:hAnsi="Arial" w:cs="Arial"/>
          <w:kern w:val="0"/>
          <w14:ligatures w14:val="none"/>
        </w:rPr>
        <w:t>. Wiley-Blackwell.</w:t>
      </w:r>
    </w:p>
    <w:p w14:paraId="49DB67D8" w14:textId="77777777" w:rsidR="006B12BA" w:rsidRPr="00033CE7" w:rsidRDefault="006B12BA" w:rsidP="006B12B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Waters, T. R., &amp; Putz-Anderson, V. (2011). The Revised NIOSH Lifting Equation: A manual material handling evaluation tool.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Ergonomics, 54</w:t>
      </w:r>
      <w:r w:rsidRPr="00033CE7">
        <w:rPr>
          <w:rFonts w:ascii="Arial" w:eastAsia="Times New Roman" w:hAnsi="Arial" w:cs="Arial"/>
          <w:kern w:val="0"/>
          <w14:ligatures w14:val="none"/>
        </w:rPr>
        <w:t>(6), 759-776.</w:t>
      </w:r>
    </w:p>
    <w:p w14:paraId="012BA4BC" w14:textId="77777777" w:rsidR="006B12BA" w:rsidRPr="00033CE7" w:rsidRDefault="006B12BA" w:rsidP="006B12B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033CE7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6. Workforce Demographics and Ergonomics</w:t>
      </w:r>
    </w:p>
    <w:p w14:paraId="025B7CEB" w14:textId="77777777" w:rsidR="006B12BA" w:rsidRPr="00033CE7" w:rsidRDefault="006B12BA" w:rsidP="006B12B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Cavuoto, L. A., &amp; Nussbaum, M. A. (2013). The influences of age and gender on work performance and strategies.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Human Factors, 55</w:t>
      </w:r>
      <w:r w:rsidRPr="00033CE7">
        <w:rPr>
          <w:rFonts w:ascii="Arial" w:eastAsia="Times New Roman" w:hAnsi="Arial" w:cs="Arial"/>
          <w:kern w:val="0"/>
          <w14:ligatures w14:val="none"/>
        </w:rPr>
        <w:t>(3), 396-408.</w:t>
      </w:r>
    </w:p>
    <w:p w14:paraId="0AD3F4D4" w14:textId="77777777" w:rsidR="006B12BA" w:rsidRPr="00033CE7" w:rsidRDefault="006B12BA" w:rsidP="006B12B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Heiden, B., Weigl, M., Angerer, P., &amp; Müller, A. (2013). Association of age and physical job demands with musculoskeletal disorders in nurses.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Applied Ergonomics, 44</w:t>
      </w:r>
      <w:r w:rsidRPr="00033CE7">
        <w:rPr>
          <w:rFonts w:ascii="Arial" w:eastAsia="Times New Roman" w:hAnsi="Arial" w:cs="Arial"/>
          <w:kern w:val="0"/>
          <w14:ligatures w14:val="none"/>
        </w:rPr>
        <w:t>(5), 652-658.</w:t>
      </w:r>
    </w:p>
    <w:p w14:paraId="00642380" w14:textId="77777777" w:rsidR="006B12BA" w:rsidRPr="00033CE7" w:rsidRDefault="006B12BA" w:rsidP="006B12B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Van den Heuvel, S. G., de Looze, M. P., Hildebrandt, V. H., &amp; </w:t>
      </w:r>
      <w:proofErr w:type="spellStart"/>
      <w:r w:rsidRPr="00033CE7">
        <w:rPr>
          <w:rFonts w:ascii="Arial" w:eastAsia="Times New Roman" w:hAnsi="Arial" w:cs="Arial"/>
          <w:kern w:val="0"/>
          <w14:ligatures w14:val="none"/>
        </w:rPr>
        <w:t>Thé</w:t>
      </w:r>
      <w:proofErr w:type="spellEnd"/>
      <w:r w:rsidRPr="00033CE7">
        <w:rPr>
          <w:rFonts w:ascii="Arial" w:eastAsia="Times New Roman" w:hAnsi="Arial" w:cs="Arial"/>
          <w:kern w:val="0"/>
          <w14:ligatures w14:val="none"/>
        </w:rPr>
        <w:t xml:space="preserve">, K. H. (2014). Effects of software programs to promote stair use at work.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Scandinavian Journal of Work, Environment &amp; Health, 40</w:t>
      </w:r>
      <w:r w:rsidRPr="00033CE7">
        <w:rPr>
          <w:rFonts w:ascii="Arial" w:eastAsia="Times New Roman" w:hAnsi="Arial" w:cs="Arial"/>
          <w:kern w:val="0"/>
          <w14:ligatures w14:val="none"/>
        </w:rPr>
        <w:t>(1), 89-98.</w:t>
      </w:r>
    </w:p>
    <w:p w14:paraId="1CB28C5D" w14:textId="77777777" w:rsidR="006B12BA" w:rsidRPr="00033CE7" w:rsidRDefault="006B12BA" w:rsidP="006B12B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033CE7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7. Tools and Equipment in Manufacturing</w:t>
      </w:r>
    </w:p>
    <w:p w14:paraId="08BF8246" w14:textId="77777777" w:rsidR="006B12BA" w:rsidRPr="00033CE7" w:rsidRDefault="006B12BA" w:rsidP="006B12B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Bosch, T., Mathiassen, S. E., &amp; Visser, B. (2015). The impact of prolonged tool use on health and performance.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Ergonomics, 58</w:t>
      </w:r>
      <w:r w:rsidRPr="00033CE7">
        <w:rPr>
          <w:rFonts w:ascii="Arial" w:eastAsia="Times New Roman" w:hAnsi="Arial" w:cs="Arial"/>
          <w:kern w:val="0"/>
          <w14:ligatures w14:val="none"/>
        </w:rPr>
        <w:t>(4), 636-647.</w:t>
      </w:r>
    </w:p>
    <w:p w14:paraId="35F56433" w14:textId="77777777" w:rsidR="006B12BA" w:rsidRPr="00033CE7" w:rsidRDefault="006B12BA" w:rsidP="006B12B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Dempsey, P. G., &amp; Wogalter, M. S. (2013).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Warning and Risk Communication</w:t>
      </w:r>
      <w:r w:rsidRPr="00033CE7">
        <w:rPr>
          <w:rFonts w:ascii="Arial" w:eastAsia="Times New Roman" w:hAnsi="Arial" w:cs="Arial"/>
          <w:kern w:val="0"/>
          <w14:ligatures w14:val="none"/>
        </w:rPr>
        <w:t>. CRC Press.</w:t>
      </w:r>
    </w:p>
    <w:p w14:paraId="2211D388" w14:textId="77777777" w:rsidR="006B12BA" w:rsidRPr="00033CE7" w:rsidRDefault="006B12BA" w:rsidP="006B12B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Konz, S., &amp; Johnson, S. (2015).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Tools and their usage in occupational ergonomics</w:t>
      </w:r>
      <w:r w:rsidRPr="00033CE7">
        <w:rPr>
          <w:rFonts w:ascii="Arial" w:eastAsia="Times New Roman" w:hAnsi="Arial" w:cs="Arial"/>
          <w:kern w:val="0"/>
          <w14:ligatures w14:val="none"/>
        </w:rPr>
        <w:t>. Holcomb Hathaway Publishers.</w:t>
      </w:r>
    </w:p>
    <w:p w14:paraId="20ECBFDB" w14:textId="77777777" w:rsidR="006B12BA" w:rsidRPr="00033CE7" w:rsidRDefault="006B12BA" w:rsidP="006B12B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033CE7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8. Repetitive Tasks and Ergonomics</w:t>
      </w:r>
    </w:p>
    <w:p w14:paraId="3588F7EC" w14:textId="77777777" w:rsidR="006B12BA" w:rsidRPr="00033CE7" w:rsidRDefault="006B12BA" w:rsidP="006B12B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Armstrong, T. J., &amp; Punnett, L. (2012).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Repetitive Motion and the Musculoskeletal System</w:t>
      </w:r>
      <w:r w:rsidRPr="00033CE7">
        <w:rPr>
          <w:rFonts w:ascii="Arial" w:eastAsia="Times New Roman" w:hAnsi="Arial" w:cs="Arial"/>
          <w:kern w:val="0"/>
          <w14:ligatures w14:val="none"/>
        </w:rPr>
        <w:t>. Springer.</w:t>
      </w:r>
    </w:p>
    <w:p w14:paraId="629BD786" w14:textId="77777777" w:rsidR="006B12BA" w:rsidRPr="00033CE7" w:rsidRDefault="006B12BA" w:rsidP="006B12B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McAtamney, L., &amp; Corlett, E. N. (2015). RULA: A survey method for the investigation of work-related upper limb disorders.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Applied Ergonomics, 46</w:t>
      </w:r>
      <w:r w:rsidRPr="00033CE7">
        <w:rPr>
          <w:rFonts w:ascii="Arial" w:eastAsia="Times New Roman" w:hAnsi="Arial" w:cs="Arial"/>
          <w:kern w:val="0"/>
          <w14:ligatures w14:val="none"/>
        </w:rPr>
        <w:t>(4), 488-495.</w:t>
      </w:r>
    </w:p>
    <w:p w14:paraId="0FA811C4" w14:textId="77777777" w:rsidR="006B12BA" w:rsidRPr="00033CE7" w:rsidRDefault="006B12BA" w:rsidP="006B12B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Silverstein, B. A., Clark, R. A., &amp; Cooper, D. L. (2011). Cumulative trauma disorders and repetitive strain injuries in the workplace.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Journal of Occupational Health Psychology, 16</w:t>
      </w:r>
      <w:r w:rsidRPr="00033CE7">
        <w:rPr>
          <w:rFonts w:ascii="Arial" w:eastAsia="Times New Roman" w:hAnsi="Arial" w:cs="Arial"/>
          <w:kern w:val="0"/>
          <w14:ligatures w14:val="none"/>
        </w:rPr>
        <w:t>(3), 308-319.</w:t>
      </w:r>
    </w:p>
    <w:p w14:paraId="3DBE36C3" w14:textId="77777777" w:rsidR="006B12BA" w:rsidRPr="00033CE7" w:rsidRDefault="006B12BA" w:rsidP="006B12B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033CE7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9. Ergonomics in System Design</w:t>
      </w:r>
    </w:p>
    <w:p w14:paraId="4547B746" w14:textId="77777777" w:rsidR="006B12BA" w:rsidRPr="00033CE7" w:rsidRDefault="006B12BA" w:rsidP="006B12B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Hancock, P. A., &amp; Warm, J. S. (2016).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Stress, Workload, and Fatigue: Human Factors in Occupational Performance</w:t>
      </w:r>
      <w:r w:rsidRPr="00033CE7">
        <w:rPr>
          <w:rFonts w:ascii="Arial" w:eastAsia="Times New Roman" w:hAnsi="Arial" w:cs="Arial"/>
          <w:kern w:val="0"/>
          <w14:ligatures w14:val="none"/>
        </w:rPr>
        <w:t>. CRC Press.</w:t>
      </w:r>
    </w:p>
    <w:p w14:paraId="6B4EC980" w14:textId="77777777" w:rsidR="006B12BA" w:rsidRPr="00033CE7" w:rsidRDefault="006B12BA" w:rsidP="006B12B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Karwowski, W. (2012).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The Discipline of Human Factors and Ergonomics</w:t>
      </w:r>
      <w:r w:rsidRPr="00033CE7">
        <w:rPr>
          <w:rFonts w:ascii="Arial" w:eastAsia="Times New Roman" w:hAnsi="Arial" w:cs="Arial"/>
          <w:kern w:val="0"/>
          <w14:ligatures w14:val="none"/>
        </w:rPr>
        <w:t>. CRC Press.</w:t>
      </w:r>
    </w:p>
    <w:p w14:paraId="489521DF" w14:textId="77777777" w:rsidR="006B12BA" w:rsidRPr="00033CE7" w:rsidRDefault="006B12BA" w:rsidP="006B12B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Robertson, M. M. (2013).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Contemporary Ergonomics and Human Factors</w:t>
      </w:r>
      <w:r w:rsidRPr="00033CE7">
        <w:rPr>
          <w:rFonts w:ascii="Arial" w:eastAsia="Times New Roman" w:hAnsi="Arial" w:cs="Arial"/>
          <w:kern w:val="0"/>
          <w14:ligatures w14:val="none"/>
        </w:rPr>
        <w:t>. CRC Press.</w:t>
      </w:r>
    </w:p>
    <w:p w14:paraId="1C4130EB" w14:textId="77777777" w:rsidR="006B12BA" w:rsidRPr="00033CE7" w:rsidRDefault="006B12BA" w:rsidP="006B12B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033CE7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lastRenderedPageBreak/>
        <w:t>10. Environmental Ergonomics</w:t>
      </w:r>
    </w:p>
    <w:p w14:paraId="0BFE7719" w14:textId="77777777" w:rsidR="006B12BA" w:rsidRPr="00033CE7" w:rsidRDefault="006B12BA" w:rsidP="006B12B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Kosonen, R., &amp; Tan, F. (2014). Assessment of indoor environmental quality in an air-conditioned office environment.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Ergonomics, 57</w:t>
      </w:r>
      <w:r w:rsidRPr="00033CE7">
        <w:rPr>
          <w:rFonts w:ascii="Arial" w:eastAsia="Times New Roman" w:hAnsi="Arial" w:cs="Arial"/>
          <w:kern w:val="0"/>
          <w14:ligatures w14:val="none"/>
        </w:rPr>
        <w:t>(8), 1165-1174.</w:t>
      </w:r>
    </w:p>
    <w:p w14:paraId="27EDECA9" w14:textId="791BB754" w:rsidR="006B12BA" w:rsidRPr="00033CE7" w:rsidRDefault="006B12BA" w:rsidP="002274F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33CE7">
        <w:rPr>
          <w:rFonts w:ascii="Arial" w:eastAsia="Times New Roman" w:hAnsi="Arial" w:cs="Arial"/>
          <w:kern w:val="0"/>
          <w14:ligatures w14:val="none"/>
        </w:rPr>
        <w:t xml:space="preserve">Seppänen, O., Fisk, W. J., &amp; Lei, Q. H. (2013). Ventilation and performance in office work. </w:t>
      </w:r>
      <w:r w:rsidRPr="00033CE7">
        <w:rPr>
          <w:rFonts w:ascii="Arial" w:eastAsia="Times New Roman" w:hAnsi="Arial" w:cs="Arial"/>
          <w:i/>
          <w:iCs/>
          <w:kern w:val="0"/>
          <w14:ligatures w14:val="none"/>
        </w:rPr>
        <w:t>Indoor Air, 23</w:t>
      </w:r>
      <w:r w:rsidRPr="00033CE7">
        <w:rPr>
          <w:rFonts w:ascii="Arial" w:eastAsia="Times New Roman" w:hAnsi="Arial" w:cs="Arial"/>
          <w:kern w:val="0"/>
          <w14:ligatures w14:val="none"/>
        </w:rPr>
        <w:t>(3), 230-240.</w:t>
      </w:r>
    </w:p>
    <w:sectPr w:rsidR="006B12BA" w:rsidRPr="00033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0F0F"/>
    <w:multiLevelType w:val="multilevel"/>
    <w:tmpl w:val="A758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A668C"/>
    <w:multiLevelType w:val="multilevel"/>
    <w:tmpl w:val="C6DC7AB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70FE4"/>
    <w:multiLevelType w:val="multilevel"/>
    <w:tmpl w:val="9A1C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724A7"/>
    <w:multiLevelType w:val="multilevel"/>
    <w:tmpl w:val="9F84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B6685"/>
    <w:multiLevelType w:val="multilevel"/>
    <w:tmpl w:val="9F889D6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235CF"/>
    <w:multiLevelType w:val="multilevel"/>
    <w:tmpl w:val="0644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04424"/>
    <w:multiLevelType w:val="multilevel"/>
    <w:tmpl w:val="A9BADA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C29DD"/>
    <w:multiLevelType w:val="multilevel"/>
    <w:tmpl w:val="86920A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B3FE9"/>
    <w:multiLevelType w:val="multilevel"/>
    <w:tmpl w:val="1B06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B2C21"/>
    <w:multiLevelType w:val="multilevel"/>
    <w:tmpl w:val="5B54312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22BB0"/>
    <w:multiLevelType w:val="multilevel"/>
    <w:tmpl w:val="7106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42CC8"/>
    <w:multiLevelType w:val="multilevel"/>
    <w:tmpl w:val="69DE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07D79"/>
    <w:multiLevelType w:val="multilevel"/>
    <w:tmpl w:val="A728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501DB6"/>
    <w:multiLevelType w:val="multilevel"/>
    <w:tmpl w:val="F8FA241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F923A8"/>
    <w:multiLevelType w:val="multilevel"/>
    <w:tmpl w:val="1930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294BC3"/>
    <w:multiLevelType w:val="multilevel"/>
    <w:tmpl w:val="9C0C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3C5EA8"/>
    <w:multiLevelType w:val="multilevel"/>
    <w:tmpl w:val="51B2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930BE"/>
    <w:multiLevelType w:val="multilevel"/>
    <w:tmpl w:val="392484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012717"/>
    <w:multiLevelType w:val="multilevel"/>
    <w:tmpl w:val="CCCE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9100A6"/>
    <w:multiLevelType w:val="multilevel"/>
    <w:tmpl w:val="0FE2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A6E4E"/>
    <w:multiLevelType w:val="multilevel"/>
    <w:tmpl w:val="FE7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F6173"/>
    <w:multiLevelType w:val="multilevel"/>
    <w:tmpl w:val="747E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B75E3B"/>
    <w:multiLevelType w:val="multilevel"/>
    <w:tmpl w:val="9FA4D7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684A92"/>
    <w:multiLevelType w:val="multilevel"/>
    <w:tmpl w:val="1BB696E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CC3D01"/>
    <w:multiLevelType w:val="multilevel"/>
    <w:tmpl w:val="30FC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E55E06"/>
    <w:multiLevelType w:val="multilevel"/>
    <w:tmpl w:val="B19AFC3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213C4A"/>
    <w:multiLevelType w:val="multilevel"/>
    <w:tmpl w:val="2A0421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524738"/>
    <w:multiLevelType w:val="multilevel"/>
    <w:tmpl w:val="C0A2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65643E"/>
    <w:multiLevelType w:val="multilevel"/>
    <w:tmpl w:val="D85C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AF2A4D"/>
    <w:multiLevelType w:val="multilevel"/>
    <w:tmpl w:val="ECEE2BD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FA602B"/>
    <w:multiLevelType w:val="multilevel"/>
    <w:tmpl w:val="1F06745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0966FD"/>
    <w:multiLevelType w:val="multilevel"/>
    <w:tmpl w:val="8E62D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7F7765"/>
    <w:multiLevelType w:val="multilevel"/>
    <w:tmpl w:val="4C6A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E34EF"/>
    <w:multiLevelType w:val="multilevel"/>
    <w:tmpl w:val="E63055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1C63C6"/>
    <w:multiLevelType w:val="multilevel"/>
    <w:tmpl w:val="D0807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CC622C"/>
    <w:multiLevelType w:val="multilevel"/>
    <w:tmpl w:val="EDA2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F21E79"/>
    <w:multiLevelType w:val="multilevel"/>
    <w:tmpl w:val="7F9292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E951B5"/>
    <w:multiLevelType w:val="multilevel"/>
    <w:tmpl w:val="B6E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2F16CB"/>
    <w:multiLevelType w:val="multilevel"/>
    <w:tmpl w:val="633C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B17305"/>
    <w:multiLevelType w:val="multilevel"/>
    <w:tmpl w:val="AB80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ED6A0E"/>
    <w:multiLevelType w:val="multilevel"/>
    <w:tmpl w:val="AC80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E93293"/>
    <w:multiLevelType w:val="multilevel"/>
    <w:tmpl w:val="D156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B85832"/>
    <w:multiLevelType w:val="multilevel"/>
    <w:tmpl w:val="6F1E5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423ECB"/>
    <w:multiLevelType w:val="multilevel"/>
    <w:tmpl w:val="5E043D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2006F7"/>
    <w:multiLevelType w:val="multilevel"/>
    <w:tmpl w:val="D6B0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545010"/>
    <w:multiLevelType w:val="multilevel"/>
    <w:tmpl w:val="8F4281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6D07A4"/>
    <w:multiLevelType w:val="multilevel"/>
    <w:tmpl w:val="7C20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811171">
    <w:abstractNumId w:val="8"/>
  </w:num>
  <w:num w:numId="2" w16cid:durableId="162863726">
    <w:abstractNumId w:val="40"/>
  </w:num>
  <w:num w:numId="3" w16cid:durableId="637689648">
    <w:abstractNumId w:val="35"/>
  </w:num>
  <w:num w:numId="4" w16cid:durableId="1681925837">
    <w:abstractNumId w:val="12"/>
  </w:num>
  <w:num w:numId="5" w16cid:durableId="359281882">
    <w:abstractNumId w:val="38"/>
  </w:num>
  <w:num w:numId="6" w16cid:durableId="793717920">
    <w:abstractNumId w:val="19"/>
  </w:num>
  <w:num w:numId="7" w16cid:durableId="1931770561">
    <w:abstractNumId w:val="21"/>
  </w:num>
  <w:num w:numId="8" w16cid:durableId="679242388">
    <w:abstractNumId w:val="16"/>
  </w:num>
  <w:num w:numId="9" w16cid:durableId="593321469">
    <w:abstractNumId w:val="41"/>
  </w:num>
  <w:num w:numId="10" w16cid:durableId="597912620">
    <w:abstractNumId w:val="20"/>
  </w:num>
  <w:num w:numId="11" w16cid:durableId="1535191784">
    <w:abstractNumId w:val="37"/>
  </w:num>
  <w:num w:numId="12" w16cid:durableId="358968168">
    <w:abstractNumId w:val="15"/>
  </w:num>
  <w:num w:numId="13" w16cid:durableId="1769615048">
    <w:abstractNumId w:val="18"/>
  </w:num>
  <w:num w:numId="14" w16cid:durableId="157698254">
    <w:abstractNumId w:val="46"/>
  </w:num>
  <w:num w:numId="15" w16cid:durableId="304359689">
    <w:abstractNumId w:val="24"/>
  </w:num>
  <w:num w:numId="16" w16cid:durableId="1070276915">
    <w:abstractNumId w:val="0"/>
  </w:num>
  <w:num w:numId="17" w16cid:durableId="1004941112">
    <w:abstractNumId w:val="27"/>
  </w:num>
  <w:num w:numId="18" w16cid:durableId="1580670308">
    <w:abstractNumId w:val="39"/>
  </w:num>
  <w:num w:numId="19" w16cid:durableId="1957054534">
    <w:abstractNumId w:val="14"/>
  </w:num>
  <w:num w:numId="20" w16cid:durableId="415711475">
    <w:abstractNumId w:val="2"/>
  </w:num>
  <w:num w:numId="21" w16cid:durableId="660038313">
    <w:abstractNumId w:val="42"/>
  </w:num>
  <w:num w:numId="22" w16cid:durableId="574826246">
    <w:abstractNumId w:val="44"/>
  </w:num>
  <w:num w:numId="23" w16cid:durableId="2049983601">
    <w:abstractNumId w:val="31"/>
  </w:num>
  <w:num w:numId="24" w16cid:durableId="1577856968">
    <w:abstractNumId w:val="5"/>
  </w:num>
  <w:num w:numId="25" w16cid:durableId="208958915">
    <w:abstractNumId w:val="28"/>
  </w:num>
  <w:num w:numId="26" w16cid:durableId="2141679662">
    <w:abstractNumId w:val="3"/>
  </w:num>
  <w:num w:numId="27" w16cid:durableId="1440224107">
    <w:abstractNumId w:val="32"/>
  </w:num>
  <w:num w:numId="28" w16cid:durableId="1381635622">
    <w:abstractNumId w:val="11"/>
  </w:num>
  <w:num w:numId="29" w16cid:durableId="1778870979">
    <w:abstractNumId w:val="34"/>
  </w:num>
  <w:num w:numId="30" w16cid:durableId="1843664425">
    <w:abstractNumId w:val="43"/>
  </w:num>
  <w:num w:numId="31" w16cid:durableId="903956404">
    <w:abstractNumId w:val="22"/>
  </w:num>
  <w:num w:numId="32" w16cid:durableId="125512901">
    <w:abstractNumId w:val="7"/>
  </w:num>
  <w:num w:numId="33" w16cid:durableId="223757011">
    <w:abstractNumId w:val="17"/>
  </w:num>
  <w:num w:numId="34" w16cid:durableId="1533957766">
    <w:abstractNumId w:val="23"/>
  </w:num>
  <w:num w:numId="35" w16cid:durableId="1882086520">
    <w:abstractNumId w:val="4"/>
  </w:num>
  <w:num w:numId="36" w16cid:durableId="167717985">
    <w:abstractNumId w:val="13"/>
  </w:num>
  <w:num w:numId="37" w16cid:durableId="833108731">
    <w:abstractNumId w:val="25"/>
  </w:num>
  <w:num w:numId="38" w16cid:durableId="990135563">
    <w:abstractNumId w:val="10"/>
  </w:num>
  <w:num w:numId="39" w16cid:durableId="1324115618">
    <w:abstractNumId w:val="45"/>
  </w:num>
  <w:num w:numId="40" w16cid:durableId="1213808028">
    <w:abstractNumId w:val="6"/>
  </w:num>
  <w:num w:numId="41" w16cid:durableId="1296718399">
    <w:abstractNumId w:val="26"/>
  </w:num>
  <w:num w:numId="42" w16cid:durableId="512106293">
    <w:abstractNumId w:val="36"/>
  </w:num>
  <w:num w:numId="43" w16cid:durableId="2049793685">
    <w:abstractNumId w:val="33"/>
  </w:num>
  <w:num w:numId="44" w16cid:durableId="1151629383">
    <w:abstractNumId w:val="29"/>
  </w:num>
  <w:num w:numId="45" w16cid:durableId="1537306188">
    <w:abstractNumId w:val="1"/>
  </w:num>
  <w:num w:numId="46" w16cid:durableId="1763142715">
    <w:abstractNumId w:val="9"/>
  </w:num>
  <w:num w:numId="47" w16cid:durableId="133498868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D7"/>
    <w:rsid w:val="00033CE7"/>
    <w:rsid w:val="00061CF2"/>
    <w:rsid w:val="000B1D9B"/>
    <w:rsid w:val="000E6F43"/>
    <w:rsid w:val="00102F13"/>
    <w:rsid w:val="00200C76"/>
    <w:rsid w:val="002801FF"/>
    <w:rsid w:val="002C1CFB"/>
    <w:rsid w:val="003623CF"/>
    <w:rsid w:val="003D14D3"/>
    <w:rsid w:val="004254F8"/>
    <w:rsid w:val="00442628"/>
    <w:rsid w:val="00590F1A"/>
    <w:rsid w:val="006B12BA"/>
    <w:rsid w:val="008F38D6"/>
    <w:rsid w:val="009218D7"/>
    <w:rsid w:val="00953640"/>
    <w:rsid w:val="00A77785"/>
    <w:rsid w:val="00A97130"/>
    <w:rsid w:val="00B91EE0"/>
    <w:rsid w:val="00F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9906"/>
  <w15:chartTrackingRefBased/>
  <w15:docId w15:val="{A589B304-2B36-48E4-995C-1E976508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D9B"/>
    <w:pPr>
      <w:keepNext/>
      <w:keepLines/>
      <w:spacing w:before="60" w:after="60" w:line="259" w:lineRule="auto"/>
      <w:outlineLvl w:val="0"/>
    </w:pPr>
    <w:rPr>
      <w:rFonts w:ascii="Arial" w:eastAsiaTheme="majorEastAsia" w:hAnsi="Arial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8D7"/>
    <w:pPr>
      <w:keepNext/>
      <w:keepLines/>
      <w:spacing w:before="160" w:after="80" w:line="259" w:lineRule="auto"/>
      <w:outlineLvl w:val="1"/>
    </w:pPr>
    <w:rPr>
      <w:rFonts w:ascii="Arial" w:eastAsiaTheme="majorEastAsia" w:hAnsi="Arial" w:cstheme="majorBidi"/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D9B"/>
    <w:rPr>
      <w:rFonts w:ascii="Arial" w:eastAsiaTheme="majorEastAsia" w:hAnsi="Arial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218D7"/>
    <w:rPr>
      <w:rFonts w:ascii="Arial" w:eastAsiaTheme="majorEastAsia" w:hAnsi="Arial" w:cstheme="majorBidi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640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53640"/>
    <w:rPr>
      <w:rFonts w:asciiTheme="majorHAnsi" w:eastAsiaTheme="majorEastAsia" w:hAnsiTheme="majorHAnsi" w:cstheme="majorBidi"/>
      <w:b/>
      <w:bCs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8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2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21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6</cp:revision>
  <dcterms:created xsi:type="dcterms:W3CDTF">2024-08-12T22:26:00Z</dcterms:created>
  <dcterms:modified xsi:type="dcterms:W3CDTF">2024-08-15T13:57:00Z</dcterms:modified>
</cp:coreProperties>
</file>